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jc w:val="center"/>
        <w:tblLayout w:type="fixed"/>
        <w:tblLook w:val="00A0" w:firstRow="1" w:lastRow="0" w:firstColumn="1" w:lastColumn="0" w:noHBand="0" w:noVBand="0"/>
      </w:tblPr>
      <w:tblGrid>
        <w:gridCol w:w="4323"/>
        <w:gridCol w:w="5600"/>
      </w:tblGrid>
      <w:tr w:rsidR="00A551C0" w:rsidRPr="007459C7" w:rsidTr="00A551C0">
        <w:trPr>
          <w:jc w:val="center"/>
        </w:trPr>
        <w:tc>
          <w:tcPr>
            <w:tcW w:w="4323" w:type="dxa"/>
          </w:tcPr>
          <w:p w:rsidR="00A551C0" w:rsidRPr="007459C7" w:rsidRDefault="00A551C0" w:rsidP="000E70D9">
            <w:pPr>
              <w:pStyle w:val="lfej"/>
              <w:ind w:right="360"/>
            </w:pPr>
            <w:r w:rsidRPr="00F832F7">
              <w:rPr>
                <w:rFonts w:eastAsia="Times New Roman"/>
                <w:noProof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68D7F525" wp14:editId="3FE47DE2">
                  <wp:simplePos x="0" y="0"/>
                  <wp:positionH relativeFrom="column">
                    <wp:posOffset>-828040</wp:posOffset>
                  </wp:positionH>
                  <wp:positionV relativeFrom="paragraph">
                    <wp:posOffset>-704850</wp:posOffset>
                  </wp:positionV>
                  <wp:extent cx="2880360" cy="1800225"/>
                  <wp:effectExtent l="0" t="0" r="0" b="9525"/>
                  <wp:wrapNone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36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00" w:type="dxa"/>
          </w:tcPr>
          <w:p w:rsidR="00A551C0" w:rsidRPr="007459C7" w:rsidRDefault="00A551C0" w:rsidP="000E70D9">
            <w:pPr>
              <w:pStyle w:val="lfej"/>
              <w:tabs>
                <w:tab w:val="clear" w:pos="4536"/>
              </w:tabs>
              <w:ind w:left="1026"/>
              <w:rPr>
                <w:b/>
                <w:caps/>
                <w:sz w:val="18"/>
                <w:szCs w:val="18"/>
              </w:rPr>
            </w:pPr>
            <w:r w:rsidRPr="007E261B">
              <w:rPr>
                <w:noProof/>
              </w:rPr>
              <w:drawing>
                <wp:inline distT="0" distB="0" distL="0" distR="0" wp14:anchorId="4957F5FD" wp14:editId="4E84C4AC">
                  <wp:extent cx="2627630" cy="1341120"/>
                  <wp:effectExtent l="0" t="0" r="1270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083" cy="13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51C0" w:rsidRPr="007459C7" w:rsidRDefault="00A551C0" w:rsidP="000E70D9">
            <w:pPr>
              <w:pStyle w:val="lfej"/>
              <w:tabs>
                <w:tab w:val="clear" w:pos="4536"/>
              </w:tabs>
              <w:ind w:left="1026"/>
              <w:rPr>
                <w:b/>
                <w:caps/>
                <w:sz w:val="18"/>
                <w:szCs w:val="18"/>
              </w:rPr>
            </w:pPr>
          </w:p>
          <w:p w:rsidR="00A551C0" w:rsidRPr="007459C7" w:rsidRDefault="00A551C0" w:rsidP="000E70D9">
            <w:pPr>
              <w:pStyle w:val="lfej"/>
              <w:tabs>
                <w:tab w:val="clear" w:pos="4536"/>
              </w:tabs>
              <w:ind w:left="1026"/>
              <w:rPr>
                <w:b/>
                <w:caps/>
                <w:sz w:val="18"/>
                <w:szCs w:val="18"/>
              </w:rPr>
            </w:pPr>
          </w:p>
          <w:p w:rsidR="00A551C0" w:rsidRPr="007459C7" w:rsidRDefault="00A551C0" w:rsidP="000E70D9">
            <w:pPr>
              <w:pStyle w:val="lfej"/>
              <w:tabs>
                <w:tab w:val="clear" w:pos="4536"/>
              </w:tabs>
              <w:ind w:left="1026"/>
              <w:rPr>
                <w:b/>
                <w:caps/>
                <w:sz w:val="18"/>
                <w:szCs w:val="18"/>
              </w:rPr>
            </w:pPr>
          </w:p>
        </w:tc>
      </w:tr>
    </w:tbl>
    <w:p w:rsidR="00962056" w:rsidRDefault="00C65B5F" w:rsidP="00A551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5B5F" w:rsidRPr="00C65B5F" w:rsidRDefault="00C65B5F" w:rsidP="00C65B5F"/>
    <w:p w:rsidR="00C65B5F" w:rsidRDefault="00C65B5F" w:rsidP="00A551C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65B5F">
        <w:rPr>
          <w:rFonts w:ascii="Arial" w:hAnsi="Arial" w:cs="Arial"/>
          <w:b/>
          <w:bCs/>
          <w:sz w:val="28"/>
          <w:szCs w:val="28"/>
        </w:rPr>
        <w:t>Fogalomjegyzék</w:t>
      </w:r>
    </w:p>
    <w:p w:rsidR="00C65B5F" w:rsidRPr="00C65B5F" w:rsidRDefault="00C65B5F" w:rsidP="00A551C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C65B5F">
        <w:rPr>
          <w:rFonts w:ascii="Arial" w:hAnsi="Arial" w:cs="Arial"/>
          <w:b/>
          <w:bCs/>
        </w:rPr>
        <w:t>Akcióterület:</w:t>
      </w:r>
      <w:r w:rsidRPr="00C65B5F">
        <w:rPr>
          <w:rFonts w:ascii="Arial" w:hAnsi="Arial" w:cs="Arial"/>
        </w:rPr>
        <w:t xml:space="preserve"> az a legalább 10 000, legfeljebb 150 000 fős lakosságszámú konkrét összefüggő városi</w:t>
      </w:r>
      <w:r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terület, amelyre a helyi közösségi fejlesztési stratégia készül, és amelyen az operatív program céljainak</w:t>
      </w:r>
      <w:r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megfelelő fejlesztések a CLLD forrásából megvalósulnak.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C65B5F">
        <w:rPr>
          <w:rFonts w:ascii="Arial" w:hAnsi="Arial" w:cs="Arial"/>
          <w:b/>
          <w:bCs/>
        </w:rPr>
        <w:t>Állami hatósági személy</w:t>
      </w:r>
      <w:r w:rsidRPr="00C65B5F">
        <w:rPr>
          <w:rFonts w:ascii="Arial" w:hAnsi="Arial" w:cs="Arial"/>
        </w:rPr>
        <w:t>: minden olyan személy, aki állami vagy önkormányzati többségi tulajdonban</w:t>
      </w:r>
      <w:r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álló szervezet tagja vagy vezetője, vagy ilyen intézmény vagy vállalkozás vezető beosztású</w:t>
      </w:r>
      <w:r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munkavállalója.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C65B5F">
        <w:rPr>
          <w:rFonts w:ascii="Arial" w:hAnsi="Arial" w:cs="Arial"/>
          <w:b/>
          <w:bCs/>
        </w:rPr>
        <w:t>CLLD (Community-Led Local Development):</w:t>
      </w:r>
      <w:r w:rsidRPr="00C65B5F">
        <w:rPr>
          <w:rFonts w:ascii="Arial" w:hAnsi="Arial" w:cs="Arial"/>
        </w:rPr>
        <w:t xml:space="preserve"> közösségvezérelt helyi fejlesztés eszköze, a helyi</w:t>
      </w:r>
      <w:r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közösségek (helyi lakosság, helyi vállalkozások, helyi civilek és a helyi önkormányzat)</w:t>
      </w:r>
      <w:r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együttműködésében tervezett és végrehajtott integrált, programalapú fejlesztés a helyi közösség</w:t>
      </w:r>
      <w:r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részvételének és tudatosságának fokozása, a helyi társadalmak megújítása, a közösségi alapú</w:t>
      </w:r>
      <w:r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gazdaságfejlesztési módszertanok kialakítása és elterjesztése érdekében.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C65B5F">
        <w:rPr>
          <w:rFonts w:ascii="Arial" w:hAnsi="Arial" w:cs="Arial"/>
          <w:b/>
          <w:bCs/>
        </w:rPr>
        <w:t>Helyi akciócsoport (HACS):</w:t>
      </w:r>
      <w:r w:rsidRPr="00C65B5F">
        <w:rPr>
          <w:rFonts w:ascii="Arial" w:hAnsi="Arial" w:cs="Arial"/>
        </w:rPr>
        <w:t xml:space="preserve"> az a szervezet, amely intézményesített formában a helyi közösség</w:t>
      </w:r>
      <w:r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szervezéséért tevékenykedik, legfőbb feladata a helyi közösségi fejlesztési stratégia kidolgozása, annak</w:t>
      </w:r>
      <w:r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megvalósításához támogatás igénylése, a stratégia megvalósítása, ehhez kapcsolódóan a stratégia</w:t>
      </w:r>
      <w:r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elkészítését és megvalósítását szolgáló kapacitásfejlesztés, képzés, hálózatépítés, az érdekeltek közötti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információcsere előmozdítása, a potenciális kedvezményezettek támogatása, a meghirdetésre kerülő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felhívások kidolgozása, valamint a végső kedvezményezettek kiválasztása.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A551C0">
        <w:rPr>
          <w:rFonts w:ascii="Arial" w:hAnsi="Arial" w:cs="Arial"/>
          <w:b/>
          <w:bCs/>
        </w:rPr>
        <w:t>Helyi akciótervezés:</w:t>
      </w:r>
      <w:r w:rsidRPr="00C65B5F">
        <w:rPr>
          <w:rFonts w:ascii="Arial" w:hAnsi="Arial" w:cs="Arial"/>
        </w:rPr>
        <w:t xml:space="preserve"> A helyi szükségletekhez illeszkedő, részvételen alapuló, rugalmas tervezés, amely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a stratégiai fejlesztési irányok megvalósulását szolgáló cselekvések sorozatán keresztül teljesül.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A551C0">
        <w:rPr>
          <w:rFonts w:ascii="Arial" w:hAnsi="Arial" w:cs="Arial"/>
          <w:b/>
          <w:bCs/>
        </w:rPr>
        <w:t>Helyi közösségi fejlesztési stratégia (HKFS):</w:t>
      </w:r>
      <w:r w:rsidRPr="00C65B5F">
        <w:rPr>
          <w:rFonts w:ascii="Arial" w:hAnsi="Arial" w:cs="Arial"/>
        </w:rPr>
        <w:t xml:space="preserve"> területi alapú fejlesztési dokumentum egy előre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meghatározott területegységre vonatkozóan, amely tartalmazza az érintett terület fejlesztési szükségleteit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és lehetőségeit, a terület fejlesztésére vonatkozó célkitűzéseket, számszerűsíthető eredményeket,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irányítási és monitoring rendszert.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A551C0">
        <w:rPr>
          <w:rFonts w:ascii="Arial" w:hAnsi="Arial" w:cs="Arial"/>
          <w:b/>
          <w:bCs/>
        </w:rPr>
        <w:t>HKFS megvalósítása:</w:t>
      </w:r>
      <w:r w:rsidRPr="00C65B5F">
        <w:rPr>
          <w:rFonts w:ascii="Arial" w:hAnsi="Arial" w:cs="Arial"/>
        </w:rPr>
        <w:t xml:space="preserve"> a HKFS megvalósítása alatt értjük a HKFS-ben foglalt célok, célkitűzések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eléréséhez szükséges tevékenységeket, a helyi fejlesztések támogatását, megvalósítását, a hazai és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nemzetközi együttműködéseket, a helyi szereplők forráshoz jutásának elősegítését, valamint a program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teljes menedzsmentjét.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A551C0">
        <w:rPr>
          <w:rFonts w:ascii="Arial" w:hAnsi="Arial" w:cs="Arial"/>
          <w:b/>
          <w:bCs/>
        </w:rPr>
        <w:t>HKFS végrehajtása:</w:t>
      </w:r>
      <w:r w:rsidRPr="00C65B5F">
        <w:rPr>
          <w:rFonts w:ascii="Arial" w:hAnsi="Arial" w:cs="Arial"/>
        </w:rPr>
        <w:t xml:space="preserve"> a HKFS végrehajtása alatt értjük a HKFS megvalósítását segítő adminisztratív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 xml:space="preserve">tevékenységek ellátást, a stratégia megvalósításának irányításához kapcsolódó </w:t>
      </w:r>
      <w:r w:rsidRPr="00C65B5F">
        <w:rPr>
          <w:rFonts w:ascii="Arial" w:hAnsi="Arial" w:cs="Arial"/>
        </w:rPr>
        <w:lastRenderedPageBreak/>
        <w:t>működési feladatokat, a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helyi felhívások megjelentetéséhez szükséges feladatokat, a stratégiához illeszkedő fejlesztések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kiválasztásához szükséges feladatokat, valamint a monitoring és értékelési feladatokat.</w:t>
      </w:r>
    </w:p>
    <w:p w:rsidR="00A551C0" w:rsidRDefault="00C65B5F" w:rsidP="00A551C0">
      <w:pPr>
        <w:jc w:val="both"/>
        <w:rPr>
          <w:rFonts w:ascii="Arial" w:hAnsi="Arial" w:cs="Arial"/>
          <w:b/>
          <w:bCs/>
        </w:rPr>
      </w:pPr>
      <w:r w:rsidRPr="00A551C0">
        <w:rPr>
          <w:rFonts w:ascii="Arial" w:hAnsi="Arial" w:cs="Arial"/>
          <w:b/>
          <w:bCs/>
        </w:rPr>
        <w:t>Középület:</w:t>
      </w:r>
      <w:r w:rsidRPr="00C65B5F">
        <w:rPr>
          <w:rFonts w:ascii="Arial" w:hAnsi="Arial" w:cs="Arial"/>
        </w:rPr>
        <w:t xml:space="preserve"> a jelen felhívás keretei között középületnek tekintjük a közösségi és közszféra funkciók alatt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felsoroltakat, azok épületeit.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A551C0">
        <w:rPr>
          <w:rFonts w:ascii="Arial" w:hAnsi="Arial" w:cs="Arial"/>
          <w:b/>
          <w:bCs/>
        </w:rPr>
        <w:t>Közösségi tevékenység:</w:t>
      </w:r>
      <w:r w:rsidRPr="00C65B5F">
        <w:rPr>
          <w:rFonts w:ascii="Arial" w:hAnsi="Arial" w:cs="Arial"/>
        </w:rPr>
        <w:t xml:space="preserve"> minden olyan szolgáltatás, mely nem gazdasági – pénzügyi szolgáltatás,köz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össégi célokat szolgál, hozzájárul a közösségfejlesztéshez, a társadalmi bizalom erősítéséhez, a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szabadidő minőségi eltöltéséhez. A közösségi szolgáltatások közé tartoznak például a bármely szervezet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által nonprofit alapon nyújtott kulturális, közművelődési, szabadidős, sportszolgáltatások, ill. ide soroljuk az önkormányzat által ellátott közszolgáltatások közül a közművelődési, közgyűjteményi, kulturális,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sportszolgáltatást, tevékenységet.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A551C0">
        <w:rPr>
          <w:rFonts w:ascii="Arial" w:hAnsi="Arial" w:cs="Arial"/>
          <w:b/>
          <w:bCs/>
        </w:rPr>
        <w:t>Közszféra funkció:</w:t>
      </w:r>
      <w:r w:rsidRPr="00C65B5F">
        <w:rPr>
          <w:rFonts w:ascii="Arial" w:hAnsi="Arial" w:cs="Arial"/>
        </w:rPr>
        <w:t xml:space="preserve"> mindazon akcióterületi / az akcióterületen belül megtalálható beavatkozási területi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épületek, építmények fejlesztése, korszerűsítése, amely hozzájárul a terület köztulajdonban (jellemzően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közigazgatási, közszolgáltatási, igazgatás-rendészeti, stb.) levő épületei és építményei korszerűbbé és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hatékonyabbá válásához, és ezáltal az akcióterület, ill. a város egésze, vagy bizonyos városrésze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számára nyújtott közszolgáltatások, és hatósági szolgáltatások minőségi javulásához.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A551C0">
        <w:rPr>
          <w:rFonts w:ascii="Arial" w:hAnsi="Arial" w:cs="Arial"/>
          <w:b/>
          <w:bCs/>
        </w:rPr>
        <w:t>Közszolgáltatás:</w:t>
      </w:r>
      <w:r w:rsidRPr="00C65B5F">
        <w:rPr>
          <w:rFonts w:ascii="Arial" w:hAnsi="Arial" w:cs="Arial"/>
        </w:rPr>
        <w:t xml:space="preserve"> A törvényi megfogalmazás alapján „Közszolgáltatás: minden közhatalmi tevékenység -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ideértve a hatósági, kormányzati és minden egyéb közigazgatási, valamint igazságszolgáltatási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tevékenységet, továbbá oktatási, közművelődési, közgyűjteményi, kulturális, tudományos, szociális,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gyermekjóléti, gyermekvédelmi, egészségügyi, sport-, ifjúsági, foglalkoztatási szolgáltatás, ellátás, illetve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tevékenység (a fogyatékos személyek jogairól és esélyegyenlőségük biztosításáról 1998.évi XXVI. tv 4.§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fb) pontja alapján).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A551C0">
        <w:rPr>
          <w:rFonts w:ascii="Arial" w:hAnsi="Arial" w:cs="Arial"/>
          <w:b/>
          <w:bCs/>
        </w:rPr>
        <w:t>Közterület:</w:t>
      </w:r>
      <w:r w:rsidRPr="00C65B5F">
        <w:rPr>
          <w:rFonts w:ascii="Arial" w:hAnsi="Arial" w:cs="Arial"/>
        </w:rPr>
        <w:t xml:space="preserve"> – az épített környezet alakításáról és védelméről szóló 1997. évi LXXVIII. Törvény (Étv.) 2. §-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ának 13. pontja értelmében –: közhasználatra szolgáló minden olyan állami vagy önkormányzati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tulajdonban álló földterület, amelyet az ingatlan-nyilvántartás akként tart nyilván.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A551C0">
        <w:rPr>
          <w:rFonts w:ascii="Arial" w:hAnsi="Arial" w:cs="Arial"/>
          <w:b/>
          <w:bCs/>
        </w:rPr>
        <w:t>Kulcsprojekt:</w:t>
      </w:r>
      <w:r w:rsidRPr="00C65B5F">
        <w:rPr>
          <w:rFonts w:ascii="Arial" w:hAnsi="Arial" w:cs="Arial"/>
        </w:rPr>
        <w:t xml:space="preserve"> az a kiemelt fejlesztés, amely a stratégia céljaival, elvárt eredményeivel közvetlen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összefüggésben van, megvalósításának indokát tehát maga a stratégia tartalma adja, alternatíva nélküli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beavatkozás, amelyre akár maga a teljes stratégia is épül.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A551C0">
        <w:rPr>
          <w:rFonts w:ascii="Arial" w:hAnsi="Arial" w:cs="Arial"/>
          <w:b/>
          <w:bCs/>
        </w:rPr>
        <w:t>Kulturális tevékenység:</w:t>
      </w:r>
      <w:r w:rsidRPr="00C65B5F">
        <w:rPr>
          <w:rFonts w:ascii="Arial" w:hAnsi="Arial" w:cs="Arial"/>
        </w:rPr>
        <w:t xml:space="preserve"> olyan intézmény vagy szolgáltatás, amely időben korlátlanul vagy korlátozottan,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ingyenesen vagy díjfizetés ellenében kulturális vagy közművelődési lehetőséget biztosít a felhasználó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számára. Ide tartoznak többek között a következők: közoktatási intézmény, (kert)mozi, (szabadtéri)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színház, kiállító terem, kiállító tér, muzeális intézmény, könyvtár, kulturális központ, koncertterem, koncert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tér, rendezvényközpont.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A551C0">
        <w:rPr>
          <w:rFonts w:ascii="Arial" w:hAnsi="Arial" w:cs="Arial"/>
          <w:b/>
          <w:bCs/>
        </w:rPr>
        <w:t>Művelet:</w:t>
      </w:r>
      <w:r w:rsidRPr="00C65B5F">
        <w:rPr>
          <w:rFonts w:ascii="Arial" w:hAnsi="Arial" w:cs="Arial"/>
        </w:rPr>
        <w:t xml:space="preserve"> az a helyi felhívás, amelyet a helyi akciócsoport a helyi közösségi fejlesztési stratégiában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foglaltakkal összhangban, a helyi érdekeltek számára, a CLLD eszköz keretében elnyert támogatás</w:t>
      </w:r>
      <w:r w:rsidR="00A551C0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terhére dolgoz ki és jelentet meg.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BC1BD5">
        <w:rPr>
          <w:rFonts w:ascii="Arial" w:hAnsi="Arial" w:cs="Arial"/>
          <w:b/>
          <w:bCs/>
        </w:rPr>
        <w:t>Nonprofit szervezetként működő szervezet:</w:t>
      </w:r>
      <w:r w:rsidRPr="00C65B5F">
        <w:rPr>
          <w:rFonts w:ascii="Arial" w:hAnsi="Arial" w:cs="Arial"/>
        </w:rPr>
        <w:t xml:space="preserve"> olyan szervezet, amelynek elsődleges célja nem a profit</w:t>
      </w:r>
      <w:r w:rsidR="00BC1BD5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termelése, hanem valamilyen társadalmi szükséglet kielégítése. Ide tartozhat minden nonprofit és egyéb</w:t>
      </w:r>
      <w:r w:rsidR="00BC1BD5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nem nyereségérdekelt szervezet (GFO 3, 5, 6). Például:</w:t>
      </w:r>
    </w:p>
    <w:p w:rsidR="00C65B5F" w:rsidRPr="00BC1BD5" w:rsidRDefault="00C65B5F" w:rsidP="00BC1BD5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</w:rPr>
      </w:pPr>
      <w:r w:rsidRPr="00BC1BD5">
        <w:rPr>
          <w:rFonts w:ascii="Arial" w:hAnsi="Arial" w:cs="Arial"/>
        </w:rPr>
        <w:t>jogi személyiségű nonprofit szervezet (GFO 5): egyesület (GFO 51-52) – kivéve párt (GFO 511) –</w:t>
      </w:r>
      <w:r w:rsidR="00BC1BD5" w:rsidRPr="00BC1BD5">
        <w:rPr>
          <w:rFonts w:ascii="Arial" w:hAnsi="Arial" w:cs="Arial"/>
        </w:rPr>
        <w:t xml:space="preserve"> </w:t>
      </w:r>
      <w:r w:rsidRPr="00BC1BD5">
        <w:rPr>
          <w:rFonts w:ascii="Arial" w:hAnsi="Arial" w:cs="Arial"/>
        </w:rPr>
        <w:t>köztestület (GFO 54), egyházi jogi személy (GFO 55), alapítvány (GFO 56), nonprofit gazdasági</w:t>
      </w:r>
      <w:r w:rsidR="00BC1BD5" w:rsidRPr="00BC1BD5">
        <w:rPr>
          <w:rFonts w:ascii="Arial" w:hAnsi="Arial" w:cs="Arial"/>
        </w:rPr>
        <w:t xml:space="preserve"> </w:t>
      </w:r>
      <w:r w:rsidRPr="00BC1BD5">
        <w:rPr>
          <w:rFonts w:ascii="Arial" w:hAnsi="Arial" w:cs="Arial"/>
        </w:rPr>
        <w:t>társaság (GFO 57), egyéb jogi személyiségű nonprofit szervezet (GFO 59);</w:t>
      </w:r>
    </w:p>
    <w:p w:rsidR="00BC1BD5" w:rsidRDefault="00C65B5F" w:rsidP="00A551C0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</w:rPr>
      </w:pPr>
      <w:r w:rsidRPr="00BC1BD5">
        <w:rPr>
          <w:rFonts w:ascii="Arial" w:hAnsi="Arial" w:cs="Arial"/>
        </w:rPr>
        <w:lastRenderedPageBreak/>
        <w:t>jogi személyiség nélküli nonprofit szervezet (GFO 6): társasház (GFO 692), építőközösség</w:t>
      </w:r>
      <w:r w:rsidR="00BC1BD5" w:rsidRPr="00BC1BD5">
        <w:rPr>
          <w:rFonts w:ascii="Arial" w:hAnsi="Arial" w:cs="Arial"/>
        </w:rPr>
        <w:t xml:space="preserve"> </w:t>
      </w:r>
      <w:r w:rsidRPr="00BC1BD5">
        <w:rPr>
          <w:rFonts w:ascii="Arial" w:hAnsi="Arial" w:cs="Arial"/>
        </w:rPr>
        <w:t>(GFO 693), egyéb jogi személyiség nélküli nonprofit szervezet (GFO 699).</w:t>
      </w:r>
      <w:r w:rsidR="00BC1BD5" w:rsidRPr="00BC1BD5">
        <w:rPr>
          <w:rFonts w:ascii="Arial" w:hAnsi="Arial" w:cs="Arial"/>
        </w:rPr>
        <w:t xml:space="preserve"> </w:t>
      </w:r>
    </w:p>
    <w:p w:rsidR="00C65B5F" w:rsidRPr="00BC1BD5" w:rsidRDefault="00C65B5F" w:rsidP="00BC1BD5">
      <w:pPr>
        <w:jc w:val="both"/>
        <w:rPr>
          <w:rFonts w:ascii="Arial" w:hAnsi="Arial" w:cs="Arial"/>
        </w:rPr>
      </w:pPr>
      <w:r w:rsidRPr="00BC1BD5">
        <w:rPr>
          <w:rFonts w:ascii="Arial" w:hAnsi="Arial" w:cs="Arial"/>
        </w:rPr>
        <w:t>A fentieken felül nonprofit szervezetként működő szervezetként fogadható el a nonprofit módon működő</w:t>
      </w:r>
      <w:r w:rsidR="00BC1BD5" w:rsidRPr="00BC1BD5">
        <w:rPr>
          <w:rFonts w:ascii="Arial" w:hAnsi="Arial" w:cs="Arial"/>
        </w:rPr>
        <w:t xml:space="preserve"> </w:t>
      </w:r>
      <w:r w:rsidRPr="00BC1BD5">
        <w:rPr>
          <w:rFonts w:ascii="Arial" w:hAnsi="Arial" w:cs="Arial"/>
        </w:rPr>
        <w:t>európai gazdasági vállalkozás (GFO 14).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BC1BD5">
        <w:rPr>
          <w:rFonts w:ascii="Arial" w:hAnsi="Arial" w:cs="Arial"/>
          <w:b/>
          <w:bCs/>
        </w:rPr>
        <w:t>Szabadtéri rekreációt segítő építmény:</w:t>
      </w:r>
      <w:r w:rsidRPr="00C65B5F">
        <w:rPr>
          <w:rFonts w:ascii="Arial" w:hAnsi="Arial" w:cs="Arial"/>
        </w:rPr>
        <w:t xml:space="preserve"> a megújításra kerülő közterületen található és szintén</w:t>
      </w:r>
      <w:r w:rsidR="00BC1BD5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megújításra kerülő, ill. a rehabilitáció keretében újonnan kialakításra kerülő minden olyan építmény, amely</w:t>
      </w:r>
      <w:r w:rsidR="00BC1BD5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közterületen a szabadtéri rekreációt elősegíti vagy kiegészíti (pl. pontszerűen megjelenő, vendéglátó</w:t>
      </w:r>
      <w:r w:rsidR="00BC1BD5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épület, a közterületen elérhető rekreációs szolgáltatások esetleges eszközigényének őrzésére szolgáló</w:t>
      </w:r>
      <w:r w:rsidR="00BC1BD5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tároló épület, a közterületen végezhető rekreációs tevékenységhez kapcsolódó kiszolgáló létesítmény).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BC1BD5">
        <w:rPr>
          <w:rFonts w:ascii="Arial" w:hAnsi="Arial" w:cs="Arial"/>
          <w:b/>
          <w:bCs/>
        </w:rPr>
        <w:t>Szabadidős létesítmény:</w:t>
      </w:r>
      <w:r w:rsidRPr="00C65B5F">
        <w:rPr>
          <w:rFonts w:ascii="Arial" w:hAnsi="Arial" w:cs="Arial"/>
        </w:rPr>
        <w:t xml:space="preserve"> a szabadidő eltöltésére alkalmas rekreációs tér vagy a szabadtéri rekreációt</w:t>
      </w:r>
      <w:r w:rsidR="00BC1BD5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segítő építmény, amely lehetőséget biztosít közterületen végezhető rekreációs tevékenységekre.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BC1BD5">
        <w:rPr>
          <w:rFonts w:ascii="Arial" w:hAnsi="Arial" w:cs="Arial"/>
          <w:b/>
          <w:bCs/>
        </w:rPr>
        <w:t>Szakmai partner:</w:t>
      </w:r>
      <w:r w:rsidRPr="00C65B5F">
        <w:rPr>
          <w:rFonts w:ascii="Arial" w:hAnsi="Arial" w:cs="Arial"/>
        </w:rPr>
        <w:t xml:space="preserve"> a program megvalósításában résztvevő valamennyi szereplő, akinek vagy amelynek</w:t>
      </w:r>
      <w:r w:rsidR="00BC1BD5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tevékenysége kapcsolódik a program megvalósításához és akinek szerepét valamint hozzájárulását a</w:t>
      </w:r>
      <w:r w:rsidR="00BC1BD5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támogatást igénylő bemutatja az HKFS-ben. A szakmai partner nem konzorciumi tag.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BC1BD5">
        <w:rPr>
          <w:rFonts w:ascii="Arial" w:hAnsi="Arial" w:cs="Arial"/>
          <w:b/>
          <w:bCs/>
        </w:rPr>
        <w:t>Támogatási kérelem:</w:t>
      </w:r>
      <w:r w:rsidRPr="00C65B5F">
        <w:rPr>
          <w:rFonts w:ascii="Arial" w:hAnsi="Arial" w:cs="Arial"/>
        </w:rPr>
        <w:t xml:space="preserve"> a felhívásban meghatározott alaki és formai követelményeknek megfelelő</w:t>
      </w:r>
      <w:r w:rsidR="00BC1BD5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dokumentum, amely egy projekt támogatásban részesítésére irányul, és amelynek részei a projektadatlap</w:t>
      </w:r>
      <w:r w:rsidR="00BC1BD5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és a mellékletek.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BC1BD5">
        <w:rPr>
          <w:rFonts w:ascii="Arial" w:hAnsi="Arial" w:cs="Arial"/>
          <w:b/>
          <w:bCs/>
        </w:rPr>
        <w:t>Turisztikai attrakció:</w:t>
      </w:r>
      <w:r w:rsidRPr="00C65B5F">
        <w:rPr>
          <w:rFonts w:ascii="Arial" w:hAnsi="Arial" w:cs="Arial"/>
        </w:rPr>
        <w:t xml:space="preserve"> az a természeti vagy kulturális örökség, amely a látogatót egy bizonyos helyszín</w:t>
      </w:r>
      <w:r w:rsidR="00BC1BD5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meglátogatására ösztönzi, vagy konkrét, tudatos emberi tevékenység eredményeképpen létrejött</w:t>
      </w:r>
      <w:r w:rsidR="00BC1BD5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létesítmény, amelyet kifejezetten turisztikai céllal, a látogatók szükségleteinek kielégítésére hoztak létre. A</w:t>
      </w:r>
      <w:r w:rsidR="00BC1BD5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turisztikai attrakció lényeges ismérve, hogy a helyi gazdaságra és társadalomra érdemi hatást gyakorló</w:t>
      </w:r>
      <w:r w:rsidR="00BC1BD5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turistaérkezést vált ki, és olyan szolgáltatásokat is nyújt, amelyek hozzájárulnak a turisztikai</w:t>
      </w:r>
      <w:r w:rsidR="00BC1BD5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munkahelyteremtéshez.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BC1BD5">
        <w:rPr>
          <w:rFonts w:ascii="Arial" w:hAnsi="Arial" w:cs="Arial"/>
          <w:b/>
          <w:bCs/>
        </w:rPr>
        <w:t>Turisztikai fejlesztés:</w:t>
      </w:r>
      <w:r w:rsidRPr="00C65B5F">
        <w:rPr>
          <w:rFonts w:ascii="Arial" w:hAnsi="Arial" w:cs="Arial"/>
        </w:rPr>
        <w:t xml:space="preserve"> azon infrastruktúra elemek fejlesztése, amelyek turisztikai attrakcióhoz</w:t>
      </w:r>
      <w:r w:rsidR="00BC1BD5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kapcsolódnak, pl. turistafogadás feltételeit szolgáló építmények, vendégfogadó terek, tematikus utak,</w:t>
      </w:r>
      <w:r w:rsidR="00BC1BD5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Natura 2000 területek, natúrparkok, vadasparkok, állatkertek, történeti és gyűjteményes növénykertek,</w:t>
      </w:r>
      <w:r w:rsidR="00BC1BD5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egyéb természeti területek, kisvasutak, erdei vasutak, azok fogadóterei, szolgáltató terei, természetes</w:t>
      </w:r>
      <w:r w:rsidR="00BC1BD5">
        <w:rPr>
          <w:rFonts w:ascii="Arial" w:hAnsi="Arial" w:cs="Arial"/>
        </w:rPr>
        <w:t xml:space="preserve"> </w:t>
      </w:r>
      <w:r w:rsidRPr="00C65B5F">
        <w:rPr>
          <w:rFonts w:ascii="Arial" w:hAnsi="Arial" w:cs="Arial"/>
        </w:rPr>
        <w:t>fürdőhelyek, horgászhelyek, szálláshelyek.</w:t>
      </w:r>
    </w:p>
    <w:p w:rsidR="00C65B5F" w:rsidRPr="00C65B5F" w:rsidRDefault="00C65B5F" w:rsidP="00A551C0">
      <w:pPr>
        <w:jc w:val="both"/>
        <w:rPr>
          <w:rFonts w:ascii="Arial" w:hAnsi="Arial" w:cs="Arial"/>
        </w:rPr>
      </w:pPr>
      <w:r w:rsidRPr="00BC1BD5">
        <w:rPr>
          <w:rFonts w:ascii="Arial" w:hAnsi="Arial" w:cs="Arial"/>
          <w:b/>
          <w:bCs/>
        </w:rPr>
        <w:t>Végső kedvezményezett:</w:t>
      </w:r>
      <w:r w:rsidRPr="00C65B5F">
        <w:rPr>
          <w:rFonts w:ascii="Arial" w:hAnsi="Arial" w:cs="Arial"/>
        </w:rPr>
        <w:t xml:space="preserve"> a HACS a helyi közösségi fejlesztési stratégiában foglaltakkal összhangban</w:t>
      </w:r>
      <w:r w:rsidR="00BC1BD5">
        <w:rPr>
          <w:rFonts w:ascii="Arial" w:hAnsi="Arial" w:cs="Arial"/>
        </w:rPr>
        <w:t xml:space="preserve"> </w:t>
      </w:r>
      <w:bookmarkStart w:id="0" w:name="_GoBack"/>
      <w:bookmarkEnd w:id="0"/>
      <w:r w:rsidRPr="00C65B5F">
        <w:rPr>
          <w:rFonts w:ascii="Arial" w:hAnsi="Arial" w:cs="Arial"/>
        </w:rPr>
        <w:t>meghirdetésre kerülő felhívás keretében támogatást nyert kedvezményezett.</w:t>
      </w:r>
    </w:p>
    <w:p w:rsidR="00C65B5F" w:rsidRPr="00C65B5F" w:rsidRDefault="00C65B5F" w:rsidP="00A551C0">
      <w:pPr>
        <w:tabs>
          <w:tab w:val="left" w:pos="9072"/>
        </w:tabs>
        <w:jc w:val="both"/>
        <w:rPr>
          <w:rFonts w:ascii="Arial" w:hAnsi="Arial" w:cs="Arial"/>
        </w:rPr>
      </w:pPr>
      <w:r w:rsidRPr="00C65B5F">
        <w:rPr>
          <w:rFonts w:ascii="Arial" w:hAnsi="Arial" w:cs="Arial"/>
        </w:rPr>
        <w:tab/>
      </w:r>
    </w:p>
    <w:sectPr w:rsidR="00C65B5F" w:rsidRPr="00C65B5F" w:rsidSect="00A551C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0545D"/>
    <w:multiLevelType w:val="hybridMultilevel"/>
    <w:tmpl w:val="66621F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44FB"/>
    <w:multiLevelType w:val="hybridMultilevel"/>
    <w:tmpl w:val="428AFA60"/>
    <w:lvl w:ilvl="0" w:tplc="F6E2CEE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D4422"/>
    <w:multiLevelType w:val="hybridMultilevel"/>
    <w:tmpl w:val="3D2C1E8A"/>
    <w:lvl w:ilvl="0" w:tplc="F6E2CEE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6602C"/>
    <w:multiLevelType w:val="hybridMultilevel"/>
    <w:tmpl w:val="96688240"/>
    <w:lvl w:ilvl="0" w:tplc="F6E2CEE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B76B4"/>
    <w:multiLevelType w:val="hybridMultilevel"/>
    <w:tmpl w:val="2E20EB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F"/>
    <w:rsid w:val="00962056"/>
    <w:rsid w:val="00A551C0"/>
    <w:rsid w:val="00BC1BD5"/>
    <w:rsid w:val="00C6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E0CF"/>
  <w15:chartTrackingRefBased/>
  <w15:docId w15:val="{81F2D411-DAA3-4AFF-B8D5-88738F9E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551C0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A551C0"/>
    <w:rPr>
      <w:rFonts w:ascii="Arial" w:eastAsia="Calibri" w:hAnsi="Arial" w:cs="Calibri"/>
      <w:color w:val="000000"/>
      <w:sz w:val="20"/>
      <w:szCs w:val="20"/>
    </w:rPr>
  </w:style>
  <w:style w:type="paragraph" w:styleId="Listaszerbekezds">
    <w:name w:val="List Paragraph"/>
    <w:basedOn w:val="Norml"/>
    <w:uiPriority w:val="34"/>
    <w:qFormat/>
    <w:rsid w:val="00BC1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1118</Words>
  <Characters>7715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Farkasdiné Papp Marianna</dc:creator>
  <cp:keywords/>
  <dc:description/>
  <cp:lastModifiedBy>Farkasdiné Papp Marianna</cp:lastModifiedBy>
  <cp:revision>2</cp:revision>
  <dcterms:created xsi:type="dcterms:W3CDTF">2019-08-13T12:02:00Z</dcterms:created>
  <dcterms:modified xsi:type="dcterms:W3CDTF">2019-08-13T12:26:00Z</dcterms:modified>
</cp:coreProperties>
</file>