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2DD983F4" w:rsidR="00681672" w:rsidRPr="000454F1" w:rsidRDefault="006828D4" w:rsidP="006828D4">
      <w:pPr>
        <w:jc w:val="center"/>
        <w:rPr>
          <w:rFonts w:ascii="Source Sans Pro" w:hAnsi="Source Sans Pro"/>
          <w:b/>
          <w:sz w:val="24"/>
          <w:szCs w:val="24"/>
        </w:rPr>
      </w:pPr>
      <w:r w:rsidRPr="006828D4">
        <w:rPr>
          <w:rFonts w:ascii="Source Sans Pro" w:hAnsi="Source Sans Pro"/>
          <w:b/>
          <w:sz w:val="24"/>
          <w:szCs w:val="24"/>
        </w:rPr>
        <w:t xml:space="preserve">Települési </w:t>
      </w:r>
      <w:r w:rsidR="00AC6B7B">
        <w:rPr>
          <w:rFonts w:ascii="Source Sans Pro" w:hAnsi="Source Sans Pro"/>
          <w:b/>
          <w:sz w:val="24"/>
          <w:szCs w:val="24"/>
        </w:rPr>
        <w:t>gyógyszertámogatás</w:t>
      </w:r>
    </w:p>
    <w:p w14:paraId="050A66BE" w14:textId="242FCE43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8FD4948" w14:textId="742C0B6D" w:rsidR="00FE1AC5" w:rsidRDefault="00FE1AC5" w:rsidP="00FE1AC5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FE1AC5">
        <w:rPr>
          <w:rFonts w:ascii="Source Sans Pro" w:hAnsi="Source Sans Pro" w:cs="Times New Roman"/>
          <w:sz w:val="24"/>
          <w:szCs w:val="24"/>
        </w:rPr>
        <w:t>A települési gyógyszertámogatás a szociálisan rászorult személy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E1AC5">
        <w:rPr>
          <w:rFonts w:ascii="Source Sans Pro" w:hAnsi="Source Sans Pro" w:cs="Times New Roman"/>
          <w:sz w:val="24"/>
          <w:szCs w:val="24"/>
        </w:rPr>
        <w:t>részére az egészségi állapota megőrzéséhez és helyreállításához kapcsolódó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FE1AC5">
        <w:rPr>
          <w:rFonts w:ascii="Source Sans Pro" w:hAnsi="Source Sans Pro" w:cs="Times New Roman"/>
          <w:sz w:val="24"/>
          <w:szCs w:val="24"/>
        </w:rPr>
        <w:t>kiadásainak csökkentése érdekében biztosított természetbeni hozzájárulás</w:t>
      </w:r>
      <w:r>
        <w:rPr>
          <w:rFonts w:ascii="Source Sans Pro" w:hAnsi="Source Sans Pro" w:cs="Times New Roman"/>
          <w:sz w:val="24"/>
          <w:szCs w:val="24"/>
        </w:rPr>
        <w:t>.</w:t>
      </w:r>
    </w:p>
    <w:p w14:paraId="58BF4A16" w14:textId="7C49C5CD" w:rsidR="00FE1AC5" w:rsidRDefault="00FE1AC5" w:rsidP="00FE1AC5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FE1AC5">
        <w:rPr>
          <w:rFonts w:ascii="Source Sans Pro" w:hAnsi="Source Sans Pro" w:cs="Times New Roman"/>
          <w:sz w:val="24"/>
          <w:szCs w:val="24"/>
        </w:rPr>
        <w:t>Települési gyógyszertámogatásban csak az a személy részesíthető, aki a szociális igazgatásról és szociális ellátásokról szóló 1993. évi III. törvény 50. § (1) bekezdése alapján közgyógyellátásra nem jogosult.</w:t>
      </w:r>
    </w:p>
    <w:p w14:paraId="72475477" w14:textId="0505A70E" w:rsidR="00FE1AC5" w:rsidRDefault="008F341D" w:rsidP="00A62D42">
      <w:pPr>
        <w:tabs>
          <w:tab w:val="left" w:pos="426"/>
        </w:tabs>
        <w:spacing w:after="60"/>
        <w:jc w:val="both"/>
        <w:rPr>
          <w:rFonts w:ascii="Source Sans Pro" w:hAnsi="Source Sans Pro" w:cs="Times New Roman"/>
          <w:sz w:val="24"/>
          <w:szCs w:val="24"/>
        </w:rPr>
      </w:pPr>
      <w:r w:rsidRPr="008F341D">
        <w:rPr>
          <w:rFonts w:ascii="Source Sans Pro" w:hAnsi="Source Sans Pro" w:cs="Times New Roman"/>
          <w:sz w:val="24"/>
          <w:szCs w:val="24"/>
        </w:rPr>
        <w:t>Települési gyógyszertámogatásra jogosult az a személy, akinek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 xml:space="preserve">családjában az egy főre jutó havi jövedelem a </w:t>
      </w:r>
      <w:r w:rsidR="00AB63F5">
        <w:rPr>
          <w:rFonts w:ascii="Source Sans Pro" w:hAnsi="Source Sans Pro" w:cs="Times New Roman"/>
          <w:sz w:val="24"/>
          <w:szCs w:val="24"/>
        </w:rPr>
        <w:t>szociális vetítési alap</w:t>
      </w:r>
      <w:r w:rsidRPr="008F341D">
        <w:rPr>
          <w:rFonts w:ascii="Source Sans Pro" w:hAnsi="Source Sans Pro" w:cs="Times New Roman"/>
          <w:sz w:val="24"/>
          <w:szCs w:val="24"/>
        </w:rPr>
        <w:t xml:space="preserve"> </w:t>
      </w:r>
      <w:r w:rsidR="00EF21CB">
        <w:rPr>
          <w:rFonts w:ascii="Source Sans Pro" w:hAnsi="Source Sans Pro" w:cs="Times New Roman"/>
          <w:sz w:val="24"/>
          <w:szCs w:val="24"/>
        </w:rPr>
        <w:t xml:space="preserve">összegének </w:t>
      </w:r>
      <w:r w:rsidR="00011E82">
        <w:rPr>
          <w:rFonts w:ascii="Source Sans Pro" w:hAnsi="Source Sans Pro" w:cs="Times New Roman"/>
          <w:sz w:val="24"/>
          <w:szCs w:val="24"/>
        </w:rPr>
        <w:t>3</w:t>
      </w:r>
      <w:r w:rsidR="00AB63F5">
        <w:rPr>
          <w:rFonts w:ascii="Source Sans Pro" w:hAnsi="Source Sans Pro" w:cs="Times New Roman"/>
          <w:sz w:val="24"/>
          <w:szCs w:val="24"/>
        </w:rPr>
        <w:t>5</w:t>
      </w:r>
      <w:r w:rsidRPr="008F341D">
        <w:rPr>
          <w:rFonts w:ascii="Source Sans Pro" w:hAnsi="Source Sans Pro" w:cs="Times New Roman"/>
          <w:sz w:val="24"/>
          <w:szCs w:val="24"/>
        </w:rPr>
        <w:t>0</w:t>
      </w:r>
      <w:r w:rsidR="00823CB3"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>%-át</w:t>
      </w:r>
      <w:r>
        <w:rPr>
          <w:rFonts w:ascii="Source Sans Pro" w:hAnsi="Source Sans Pro" w:cs="Times New Roman"/>
          <w:sz w:val="24"/>
          <w:szCs w:val="24"/>
        </w:rPr>
        <w:t xml:space="preserve"> (</w:t>
      </w:r>
      <w:r w:rsidR="00AB63F5">
        <w:rPr>
          <w:rFonts w:ascii="Source Sans Pro" w:hAnsi="Source Sans Pro" w:cs="Times New Roman"/>
          <w:sz w:val="24"/>
          <w:szCs w:val="24"/>
        </w:rPr>
        <w:t>99.750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6B52A6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>)</w:t>
      </w:r>
      <w:r w:rsidRPr="008F341D">
        <w:rPr>
          <w:rFonts w:ascii="Source Sans Pro" w:hAnsi="Source Sans Pro" w:cs="Times New Roman"/>
          <w:sz w:val="24"/>
          <w:szCs w:val="24"/>
        </w:rPr>
        <w:t>,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>egyedül</w:t>
      </w:r>
      <w:r w:rsidR="00011E82"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 xml:space="preserve">élő esetén a </w:t>
      </w:r>
      <w:r w:rsidR="00EF21CB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szociális vetítési alap összegének</w:t>
      </w:r>
      <w:r w:rsidR="00EF21CB" w:rsidRPr="00473F4C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</w:t>
      </w:r>
      <w:r w:rsidR="00AB63F5">
        <w:rPr>
          <w:rFonts w:ascii="Source Sans Pro" w:hAnsi="Source Sans Pro" w:cs="Times New Roman"/>
          <w:sz w:val="24"/>
          <w:szCs w:val="24"/>
        </w:rPr>
        <w:t>40</w:t>
      </w:r>
      <w:r w:rsidRPr="008F341D">
        <w:rPr>
          <w:rFonts w:ascii="Source Sans Pro" w:hAnsi="Source Sans Pro" w:cs="Times New Roman"/>
          <w:sz w:val="24"/>
          <w:szCs w:val="24"/>
        </w:rPr>
        <w:t>0</w:t>
      </w:r>
      <w:r w:rsidR="00823CB3"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 xml:space="preserve">%-át </w:t>
      </w:r>
      <w:r>
        <w:rPr>
          <w:rFonts w:ascii="Source Sans Pro" w:hAnsi="Source Sans Pro" w:cs="Times New Roman"/>
          <w:sz w:val="24"/>
          <w:szCs w:val="24"/>
        </w:rPr>
        <w:t>(</w:t>
      </w:r>
      <w:r w:rsidR="00AB63F5">
        <w:rPr>
          <w:rFonts w:ascii="Source Sans Pro" w:hAnsi="Source Sans Pro" w:cs="Times New Roman"/>
          <w:sz w:val="24"/>
          <w:szCs w:val="24"/>
        </w:rPr>
        <w:t>114.000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6B52A6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 xml:space="preserve">) </w:t>
      </w:r>
      <w:r w:rsidRPr="008F341D">
        <w:rPr>
          <w:rFonts w:ascii="Source Sans Pro" w:hAnsi="Source Sans Pro" w:cs="Times New Roman"/>
          <w:sz w:val="24"/>
          <w:szCs w:val="24"/>
        </w:rPr>
        <w:t>nem haladja meg, és vagyonnal nem rendelkezik.</w:t>
      </w:r>
    </w:p>
    <w:p w14:paraId="6C17DCB3" w14:textId="77777777" w:rsidR="008F341D" w:rsidRPr="008F341D" w:rsidRDefault="008F341D" w:rsidP="00A62D42">
      <w:pPr>
        <w:tabs>
          <w:tab w:val="left" w:pos="426"/>
        </w:tabs>
        <w:spacing w:after="6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F341D">
        <w:rPr>
          <w:rFonts w:ascii="Source Sans Pro" w:hAnsi="Source Sans Pro" w:cs="Times New Roman"/>
          <w:i/>
          <w:iCs/>
          <w:sz w:val="24"/>
          <w:szCs w:val="24"/>
        </w:rPr>
        <w:t>(Család: 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6A7ABDE1" w14:textId="77777777" w:rsidR="008F341D" w:rsidRPr="008F341D" w:rsidRDefault="008F341D" w:rsidP="006B52A6">
      <w:pPr>
        <w:tabs>
          <w:tab w:val="left" w:pos="426"/>
        </w:tabs>
        <w:spacing w:after="0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F341D">
        <w:rPr>
          <w:rFonts w:ascii="Source Sans Pro" w:hAnsi="Source Sans Pro" w:cs="Times New Roman"/>
          <w:i/>
          <w:iCs/>
          <w:sz w:val="24"/>
          <w:szCs w:val="24"/>
        </w:rPr>
        <w:t>Vagyon: az a hasznosítható ingatlan, jármű, vagyoni értékű jog, továbbá pénzforgalmi szolgáltatónál kezelt - jövedelemként figyelembe nem vett - összeg, amelynek</w:t>
      </w:r>
    </w:p>
    <w:p w14:paraId="01D34E83" w14:textId="07447108" w:rsidR="008F341D" w:rsidRPr="008F341D" w:rsidRDefault="008F341D" w:rsidP="006B52A6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850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F341D">
        <w:rPr>
          <w:rFonts w:ascii="Source Sans Pro" w:hAnsi="Source Sans Pro" w:cs="Times New Roman"/>
          <w:i/>
          <w:iCs/>
          <w:sz w:val="24"/>
          <w:szCs w:val="24"/>
        </w:rPr>
        <w:t xml:space="preserve">külön-külön számított forgalmi értéke, illetve összege </w:t>
      </w:r>
      <w:r w:rsidR="00AB63F5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Pr="008F341D">
        <w:rPr>
          <w:rFonts w:ascii="Source Sans Pro" w:hAnsi="Source Sans Pro" w:cs="Times New Roman"/>
          <w:i/>
          <w:iCs/>
          <w:sz w:val="24"/>
          <w:szCs w:val="24"/>
        </w:rPr>
        <w:t xml:space="preserve"> összegének a harmincszorosát (855</w:t>
      </w:r>
      <w:r w:rsidR="006B52A6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8F341D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6B52A6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8F341D">
        <w:rPr>
          <w:rFonts w:ascii="Source Sans Pro" w:hAnsi="Source Sans Pro" w:cs="Times New Roman"/>
          <w:i/>
          <w:iCs/>
          <w:sz w:val="24"/>
          <w:szCs w:val="24"/>
        </w:rPr>
        <w:t>), vagy</w:t>
      </w:r>
    </w:p>
    <w:p w14:paraId="2277AF0A" w14:textId="1820C0B9" w:rsidR="008F341D" w:rsidRPr="008F341D" w:rsidRDefault="008F341D" w:rsidP="006B52A6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850" w:hanging="357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8F341D">
        <w:rPr>
          <w:rFonts w:ascii="Source Sans Pro" w:hAnsi="Source Sans Pro" w:cs="Times New Roman"/>
          <w:i/>
          <w:iCs/>
          <w:sz w:val="24"/>
          <w:szCs w:val="24"/>
        </w:rPr>
        <w:t xml:space="preserve">együttes forgalmi értéke </w:t>
      </w:r>
      <w:r w:rsidR="00AB63F5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="00AB63F5" w:rsidRPr="008F341D"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i/>
          <w:iCs/>
          <w:sz w:val="24"/>
          <w:szCs w:val="24"/>
        </w:rPr>
        <w:t>összegének a nyolcvanszorosát (2</w:t>
      </w:r>
      <w:r w:rsidR="006B52A6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8F341D">
        <w:rPr>
          <w:rFonts w:ascii="Source Sans Pro" w:hAnsi="Source Sans Pro" w:cs="Times New Roman"/>
          <w:i/>
          <w:iCs/>
          <w:sz w:val="24"/>
          <w:szCs w:val="24"/>
        </w:rPr>
        <w:t>280</w:t>
      </w:r>
      <w:r w:rsidR="006B52A6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8F341D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6B52A6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8F341D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3C282B74" w14:textId="56E2583C" w:rsidR="008F341D" w:rsidRDefault="008F341D" w:rsidP="008F341D">
      <w:pPr>
        <w:tabs>
          <w:tab w:val="left" w:pos="426"/>
        </w:tabs>
        <w:spacing w:after="120"/>
        <w:ind w:left="284"/>
        <w:jc w:val="both"/>
        <w:rPr>
          <w:rFonts w:ascii="Source Sans Pro" w:hAnsi="Source Sans Pro" w:cs="Times New Roman"/>
          <w:sz w:val="24"/>
          <w:szCs w:val="24"/>
        </w:rPr>
      </w:pPr>
      <w:r w:rsidRPr="008F341D">
        <w:rPr>
          <w:rFonts w:ascii="Source Sans Pro" w:hAnsi="Source Sans Pro" w:cs="Times New Roman"/>
          <w:i/>
          <w:iCs/>
          <w:sz w:val="24"/>
          <w:szCs w:val="24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gépjármű.)</w:t>
      </w:r>
    </w:p>
    <w:p w14:paraId="13EEB75F" w14:textId="30040B56" w:rsidR="00FE1AC5" w:rsidRDefault="008F341D" w:rsidP="008F341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F341D">
        <w:rPr>
          <w:rFonts w:ascii="Source Sans Pro" w:hAnsi="Source Sans Pro" w:cs="Times New Roman"/>
          <w:sz w:val="24"/>
          <w:szCs w:val="24"/>
        </w:rPr>
        <w:t xml:space="preserve">Települési gyógyszertámogatás </w:t>
      </w:r>
      <w:r w:rsidR="006B52A6">
        <w:rPr>
          <w:rFonts w:ascii="Source Sans Pro" w:hAnsi="Source Sans Pro" w:cs="Times New Roman"/>
          <w:sz w:val="24"/>
          <w:szCs w:val="24"/>
        </w:rPr>
        <w:t xml:space="preserve">nyújtható </w:t>
      </w:r>
      <w:r w:rsidRPr="008F341D">
        <w:rPr>
          <w:rFonts w:ascii="Source Sans Pro" w:hAnsi="Source Sans Pro" w:cs="Times New Roman"/>
          <w:sz w:val="24"/>
          <w:szCs w:val="24"/>
        </w:rPr>
        <w:t>havi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>rendszerességgel és eseti jelleggel.</w:t>
      </w:r>
    </w:p>
    <w:p w14:paraId="1C80C467" w14:textId="4E97A331" w:rsidR="00BB7F23" w:rsidRPr="00BB7F23" w:rsidRDefault="00BB7F23" w:rsidP="00BB7F23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BB7F23">
        <w:rPr>
          <w:rFonts w:ascii="Source Sans Pro" w:hAnsi="Source Sans Pro" w:cs="Times New Roman"/>
          <w:sz w:val="24"/>
          <w:szCs w:val="24"/>
        </w:rPr>
        <w:t>Rendszeres települési gyógyszertámogatás a jogosult számára kizárólag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BB7F23">
        <w:rPr>
          <w:rFonts w:ascii="Source Sans Pro" w:hAnsi="Source Sans Pro" w:cs="Times New Roman"/>
          <w:sz w:val="24"/>
          <w:szCs w:val="24"/>
        </w:rPr>
        <w:t>személyes szükségletének kielégítéséhez havonta rendszeresen szedett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BB7F23">
        <w:rPr>
          <w:rFonts w:ascii="Source Sans Pro" w:hAnsi="Source Sans Pro" w:cs="Times New Roman"/>
          <w:sz w:val="24"/>
          <w:szCs w:val="24"/>
        </w:rPr>
        <w:t>gyógyszerek és gyógyászati segédeszközök kiváltásához nyújtható.</w:t>
      </w:r>
    </w:p>
    <w:p w14:paraId="1F389B52" w14:textId="374F3FEE" w:rsidR="00BB7F23" w:rsidRPr="00BB7F23" w:rsidRDefault="00BB7F23" w:rsidP="00104E71">
      <w:pPr>
        <w:tabs>
          <w:tab w:val="left" w:pos="426"/>
        </w:tabs>
        <w:spacing w:after="0"/>
        <w:jc w:val="both"/>
        <w:rPr>
          <w:rFonts w:ascii="Source Sans Pro" w:hAnsi="Source Sans Pro" w:cs="Times New Roman"/>
          <w:sz w:val="24"/>
          <w:szCs w:val="24"/>
        </w:rPr>
      </w:pPr>
      <w:r w:rsidRPr="00BB7F23">
        <w:rPr>
          <w:rFonts w:ascii="Source Sans Pro" w:hAnsi="Source Sans Pro" w:cs="Times New Roman"/>
          <w:sz w:val="24"/>
          <w:szCs w:val="24"/>
        </w:rPr>
        <w:t>Eseti települési gyógyszertámogatás a jogosult számára kizárólag 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BB7F23">
        <w:rPr>
          <w:rFonts w:ascii="Source Sans Pro" w:hAnsi="Source Sans Pro" w:cs="Times New Roman"/>
          <w:sz w:val="24"/>
          <w:szCs w:val="24"/>
        </w:rPr>
        <w:t>személyes szükségletének kielégítéséhez nyújtható:</w:t>
      </w:r>
    </w:p>
    <w:p w14:paraId="207C061F" w14:textId="4D370019" w:rsidR="00BB7F23" w:rsidRPr="00BB7F23" w:rsidRDefault="00BB7F23" w:rsidP="00BB7F23">
      <w:pPr>
        <w:pStyle w:val="Listaszerbekezds"/>
        <w:numPr>
          <w:ilvl w:val="0"/>
          <w:numId w:val="40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BB7F23">
        <w:rPr>
          <w:rFonts w:ascii="Source Sans Pro" w:hAnsi="Source Sans Pro" w:cs="Times New Roman"/>
          <w:sz w:val="24"/>
          <w:szCs w:val="24"/>
        </w:rPr>
        <w:t>gyógyszerkiváltáshoz, amennyiben a gyógyszerköltség akut betegséghez kötődik, vagy</w:t>
      </w:r>
    </w:p>
    <w:p w14:paraId="31D2B083" w14:textId="3FDEF48F" w:rsidR="00BB7F23" w:rsidRPr="00BB7F23" w:rsidRDefault="00BB7F23" w:rsidP="00BB7F23">
      <w:pPr>
        <w:pStyle w:val="Listaszerbekezds"/>
        <w:numPr>
          <w:ilvl w:val="0"/>
          <w:numId w:val="40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BB7F23">
        <w:rPr>
          <w:rFonts w:ascii="Source Sans Pro" w:hAnsi="Source Sans Pro" w:cs="Times New Roman"/>
          <w:sz w:val="24"/>
          <w:szCs w:val="24"/>
        </w:rPr>
        <w:t>gyógyászati segédeszköz kiváltásához, ha az eseti jellegű vagy</w:t>
      </w:r>
    </w:p>
    <w:p w14:paraId="3ECAF7B3" w14:textId="058B9FCB" w:rsidR="00BB7F23" w:rsidRPr="00BB7F23" w:rsidRDefault="00BB7F23" w:rsidP="00BB7F23">
      <w:pPr>
        <w:pStyle w:val="Listaszerbekezds"/>
        <w:numPr>
          <w:ilvl w:val="0"/>
          <w:numId w:val="40"/>
        </w:num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BB7F23">
        <w:rPr>
          <w:rFonts w:ascii="Source Sans Pro" w:hAnsi="Source Sans Pro" w:cs="Times New Roman"/>
          <w:sz w:val="24"/>
          <w:szCs w:val="24"/>
        </w:rPr>
        <w:t>orvosi rehabilitáció céljából igénybe vehető gyógyászati ellátások igénybevételéhez.</w:t>
      </w:r>
    </w:p>
    <w:p w14:paraId="3C06D8EF" w14:textId="3D688ED9" w:rsidR="008F341D" w:rsidRPr="008F341D" w:rsidRDefault="008F341D" w:rsidP="008F341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F341D">
        <w:rPr>
          <w:rFonts w:ascii="Source Sans Pro" w:hAnsi="Source Sans Pro" w:cs="Times New Roman"/>
          <w:sz w:val="24"/>
          <w:szCs w:val="24"/>
        </w:rPr>
        <w:t>A rendszeres települési gyógyszertámogatás egy év időtartamra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="00295FAF">
        <w:rPr>
          <w:rFonts w:ascii="Source Sans Pro" w:hAnsi="Source Sans Pro" w:cs="Times New Roman"/>
          <w:sz w:val="24"/>
          <w:szCs w:val="24"/>
        </w:rPr>
        <w:t>kerül</w:t>
      </w:r>
      <w:r w:rsidRPr="008F341D">
        <w:rPr>
          <w:rFonts w:ascii="Source Sans Pro" w:hAnsi="Source Sans Pro" w:cs="Times New Roman"/>
          <w:sz w:val="24"/>
          <w:szCs w:val="24"/>
        </w:rPr>
        <w:t xml:space="preserve"> megállapít</w:t>
      </w:r>
      <w:r w:rsidR="00295FAF">
        <w:rPr>
          <w:rFonts w:ascii="Source Sans Pro" w:hAnsi="Source Sans Pro" w:cs="Times New Roman"/>
          <w:sz w:val="24"/>
          <w:szCs w:val="24"/>
        </w:rPr>
        <w:t>ásra</w:t>
      </w:r>
      <w:r w:rsidRPr="008F341D">
        <w:rPr>
          <w:rFonts w:ascii="Source Sans Pro" w:hAnsi="Source Sans Pro" w:cs="Times New Roman"/>
          <w:sz w:val="24"/>
          <w:szCs w:val="24"/>
        </w:rPr>
        <w:t>.</w:t>
      </w:r>
    </w:p>
    <w:p w14:paraId="0AB13367" w14:textId="5DAD7EDE" w:rsidR="008F341D" w:rsidRPr="008F341D" w:rsidRDefault="008F341D" w:rsidP="008F341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F341D">
        <w:rPr>
          <w:rFonts w:ascii="Source Sans Pro" w:hAnsi="Source Sans Pro" w:cs="Times New Roman"/>
          <w:sz w:val="24"/>
          <w:szCs w:val="24"/>
        </w:rPr>
        <w:lastRenderedPageBreak/>
        <w:t xml:space="preserve">A rendszeres települési gyógyszertámogatás havi összege </w:t>
      </w:r>
      <w:r w:rsidR="0005506E">
        <w:rPr>
          <w:rFonts w:ascii="Source Sans Pro" w:hAnsi="Source Sans Pro" w:cs="Times New Roman"/>
          <w:sz w:val="24"/>
          <w:szCs w:val="24"/>
        </w:rPr>
        <w:t xml:space="preserve">a rendeletben meghatározott esetekben a </w:t>
      </w:r>
      <w:r w:rsidR="0005506E" w:rsidRPr="0005506E">
        <w:rPr>
          <w:rFonts w:ascii="Source Sans Pro" w:hAnsi="Source Sans Pro" w:cs="Times New Roman"/>
          <w:sz w:val="24"/>
          <w:szCs w:val="24"/>
        </w:rPr>
        <w:t xml:space="preserve">havi rendszeres gyógyszerköltség 50%-a, </w:t>
      </w:r>
      <w:r w:rsidR="0005506E">
        <w:rPr>
          <w:rFonts w:ascii="Source Sans Pro" w:hAnsi="Source Sans Pro" w:cs="Times New Roman"/>
          <w:sz w:val="24"/>
          <w:szCs w:val="24"/>
        </w:rPr>
        <w:t>vagy</w:t>
      </w:r>
      <w:r w:rsidR="0005506E" w:rsidRPr="0005506E">
        <w:rPr>
          <w:rFonts w:ascii="Source Sans Pro" w:hAnsi="Source Sans Pro" w:cs="Times New Roman"/>
          <w:sz w:val="24"/>
          <w:szCs w:val="24"/>
        </w:rPr>
        <w:t xml:space="preserve"> 25%-a</w:t>
      </w:r>
      <w:r w:rsidR="0005506E">
        <w:rPr>
          <w:rFonts w:ascii="Source Sans Pro" w:hAnsi="Source Sans Pro" w:cs="Times New Roman"/>
          <w:sz w:val="24"/>
          <w:szCs w:val="24"/>
        </w:rPr>
        <w:t xml:space="preserve">, de </w:t>
      </w:r>
      <w:r w:rsidRPr="008F341D">
        <w:rPr>
          <w:rFonts w:ascii="Source Sans Pro" w:hAnsi="Source Sans Pro" w:cs="Times New Roman"/>
          <w:sz w:val="24"/>
          <w:szCs w:val="24"/>
        </w:rPr>
        <w:t>a 12</w:t>
      </w:r>
      <w:r w:rsidR="006B52A6">
        <w:rPr>
          <w:rFonts w:ascii="Source Sans Pro" w:hAnsi="Source Sans Pro" w:cs="Times New Roman"/>
          <w:sz w:val="24"/>
          <w:szCs w:val="24"/>
        </w:rPr>
        <w:t>.</w:t>
      </w:r>
      <w:r w:rsidRPr="008F341D">
        <w:rPr>
          <w:rFonts w:ascii="Source Sans Pro" w:hAnsi="Source Sans Pro" w:cs="Times New Roman"/>
          <w:sz w:val="24"/>
          <w:szCs w:val="24"/>
        </w:rPr>
        <w:t>000</w:t>
      </w:r>
      <w:r w:rsidR="00104E71">
        <w:rPr>
          <w:rFonts w:ascii="Source Sans Pro" w:hAnsi="Source Sans Pro" w:cs="Times New Roman"/>
          <w:sz w:val="24"/>
          <w:szCs w:val="24"/>
        </w:rPr>
        <w:t xml:space="preserve"> </w:t>
      </w:r>
      <w:r w:rsidR="006B52A6">
        <w:rPr>
          <w:rFonts w:ascii="Source Sans Pro" w:hAnsi="Source Sans Pro" w:cs="Times New Roman"/>
          <w:sz w:val="24"/>
          <w:szCs w:val="24"/>
        </w:rPr>
        <w:t>Ft-ot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>nem haladhatja meg és 1</w:t>
      </w:r>
      <w:r w:rsidR="006B52A6">
        <w:rPr>
          <w:rFonts w:ascii="Source Sans Pro" w:hAnsi="Source Sans Pro" w:cs="Times New Roman"/>
          <w:sz w:val="24"/>
          <w:szCs w:val="24"/>
        </w:rPr>
        <w:t>.</w:t>
      </w:r>
      <w:r w:rsidRPr="008F341D">
        <w:rPr>
          <w:rFonts w:ascii="Source Sans Pro" w:hAnsi="Source Sans Pro" w:cs="Times New Roman"/>
          <w:sz w:val="24"/>
          <w:szCs w:val="24"/>
        </w:rPr>
        <w:t>000</w:t>
      </w:r>
      <w:r w:rsidR="00104E71">
        <w:rPr>
          <w:rFonts w:ascii="Source Sans Pro" w:hAnsi="Source Sans Pro" w:cs="Times New Roman"/>
          <w:sz w:val="24"/>
          <w:szCs w:val="24"/>
        </w:rPr>
        <w:t xml:space="preserve"> </w:t>
      </w:r>
      <w:r w:rsidR="006B52A6">
        <w:rPr>
          <w:rFonts w:ascii="Source Sans Pro" w:hAnsi="Source Sans Pro" w:cs="Times New Roman"/>
          <w:sz w:val="24"/>
          <w:szCs w:val="24"/>
        </w:rPr>
        <w:t>Ft</w:t>
      </w:r>
      <w:r w:rsidR="00104E71"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>alatt támogatás nem állapítható meg.</w:t>
      </w:r>
    </w:p>
    <w:p w14:paraId="6398F411" w14:textId="1B8CA7CF" w:rsidR="00FE1AC5" w:rsidRDefault="008F341D" w:rsidP="008F341D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8F341D">
        <w:rPr>
          <w:rFonts w:ascii="Source Sans Pro" w:hAnsi="Source Sans Pro" w:cs="Times New Roman"/>
          <w:sz w:val="24"/>
          <w:szCs w:val="24"/>
        </w:rPr>
        <w:t xml:space="preserve">Az eseti települési gyógyszertámogatás alkalmanként </w:t>
      </w:r>
      <w:r w:rsidR="00295FAF">
        <w:rPr>
          <w:rFonts w:ascii="Source Sans Pro" w:hAnsi="Source Sans Pro" w:cs="Times New Roman"/>
          <w:sz w:val="24"/>
          <w:szCs w:val="24"/>
        </w:rPr>
        <w:t>kerül megállapításra</w:t>
      </w:r>
      <w:r w:rsidRPr="008F341D">
        <w:rPr>
          <w:rFonts w:ascii="Source Sans Pro" w:hAnsi="Source Sans Pro" w:cs="Times New Roman"/>
          <w:sz w:val="24"/>
          <w:szCs w:val="24"/>
        </w:rPr>
        <w:t>,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>legfeljebb évi három alkalommal úgy, hogy alkalmanként a támogatás összege</w:t>
      </w:r>
      <w:r>
        <w:rPr>
          <w:rFonts w:ascii="Source Sans Pro" w:hAnsi="Source Sans Pro" w:cs="Times New Roman"/>
          <w:sz w:val="24"/>
          <w:szCs w:val="24"/>
        </w:rPr>
        <w:t xml:space="preserve"> </w:t>
      </w:r>
      <w:r w:rsidRPr="008F341D">
        <w:rPr>
          <w:rFonts w:ascii="Source Sans Pro" w:hAnsi="Source Sans Pro" w:cs="Times New Roman"/>
          <w:sz w:val="24"/>
          <w:szCs w:val="24"/>
        </w:rPr>
        <w:t>a 12</w:t>
      </w:r>
      <w:r w:rsidR="006B52A6">
        <w:rPr>
          <w:rFonts w:ascii="Source Sans Pro" w:hAnsi="Source Sans Pro" w:cs="Times New Roman"/>
          <w:sz w:val="24"/>
          <w:szCs w:val="24"/>
        </w:rPr>
        <w:t>.</w:t>
      </w:r>
      <w:r w:rsidRPr="008F341D">
        <w:rPr>
          <w:rFonts w:ascii="Source Sans Pro" w:hAnsi="Source Sans Pro" w:cs="Times New Roman"/>
          <w:sz w:val="24"/>
          <w:szCs w:val="24"/>
        </w:rPr>
        <w:t>000</w:t>
      </w:r>
      <w:r w:rsidR="00104E71">
        <w:rPr>
          <w:rFonts w:ascii="Source Sans Pro" w:hAnsi="Source Sans Pro" w:cs="Times New Roman"/>
          <w:sz w:val="24"/>
          <w:szCs w:val="24"/>
        </w:rPr>
        <w:t xml:space="preserve"> </w:t>
      </w:r>
      <w:r w:rsidR="006B52A6">
        <w:rPr>
          <w:rFonts w:ascii="Source Sans Pro" w:hAnsi="Source Sans Pro" w:cs="Times New Roman"/>
          <w:sz w:val="24"/>
          <w:szCs w:val="24"/>
        </w:rPr>
        <w:t>Ft-ot</w:t>
      </w:r>
      <w:r w:rsidRPr="008F341D">
        <w:rPr>
          <w:rFonts w:ascii="Source Sans Pro" w:hAnsi="Source Sans Pro" w:cs="Times New Roman"/>
          <w:sz w:val="24"/>
          <w:szCs w:val="24"/>
        </w:rPr>
        <w:t xml:space="preserve"> nem haladhatja meg.</w:t>
      </w:r>
    </w:p>
    <w:p w14:paraId="55D43724" w14:textId="411346B7" w:rsidR="00295FAF" w:rsidRDefault="00295FAF" w:rsidP="00295FAF">
      <w:pPr>
        <w:tabs>
          <w:tab w:val="left" w:pos="426"/>
        </w:tabs>
        <w:spacing w:after="120"/>
        <w:jc w:val="both"/>
        <w:rPr>
          <w:rFonts w:ascii="Source Sans Pro" w:hAnsi="Source Sans Pro" w:cs="Times New Roman"/>
          <w:sz w:val="24"/>
          <w:szCs w:val="24"/>
        </w:rPr>
      </w:pPr>
      <w:r w:rsidRPr="00295FAF">
        <w:rPr>
          <w:rFonts w:ascii="Source Sans Pro" w:hAnsi="Source Sans Pro" w:cs="Times New Roman"/>
          <w:sz w:val="24"/>
          <w:szCs w:val="24"/>
        </w:rPr>
        <w:t xml:space="preserve">Havi rendszeres gyógyszertámogatás mellett eseti települési gyógyszertámogatás kizárólag eseti jellegű gyógyászati segédeszközre biztosítható, amennyiben az a választott gyógyszertárban nem kapható és </w:t>
      </w:r>
      <w:r>
        <w:rPr>
          <w:rFonts w:ascii="Source Sans Pro" w:hAnsi="Source Sans Pro" w:cs="Times New Roman"/>
          <w:sz w:val="24"/>
          <w:szCs w:val="24"/>
        </w:rPr>
        <w:t>az igazolt, havi rendszeres gyógyszer</w:t>
      </w:r>
      <w:r w:rsidR="006F6304">
        <w:rPr>
          <w:rFonts w:ascii="Source Sans Pro" w:hAnsi="Source Sans Pro" w:cs="Times New Roman"/>
          <w:sz w:val="24"/>
          <w:szCs w:val="24"/>
        </w:rPr>
        <w:t xml:space="preserve">ek és gyógyászati segédeszközök között </w:t>
      </w:r>
      <w:r w:rsidRPr="00295FAF">
        <w:rPr>
          <w:rFonts w:ascii="Source Sans Pro" w:hAnsi="Source Sans Pro" w:cs="Times New Roman"/>
          <w:sz w:val="24"/>
          <w:szCs w:val="24"/>
        </w:rPr>
        <w:t>nem szerepel.</w:t>
      </w:r>
    </w:p>
    <w:p w14:paraId="6C6BA956" w14:textId="7721EA8B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104E71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16976EE0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6F6304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2577C52D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CD47E5">
        <w:rPr>
          <w:rFonts w:ascii="Source Sans Pro" w:hAnsi="Source Sans Pro"/>
          <w:sz w:val="24"/>
          <w:szCs w:val="24"/>
        </w:rPr>
        <w:t xml:space="preserve">települési </w:t>
      </w:r>
      <w:r w:rsidR="00FE1AC5" w:rsidRPr="00FE1AC5">
        <w:rPr>
          <w:rFonts w:ascii="Source Sans Pro" w:hAnsi="Source Sans Pro"/>
          <w:sz w:val="24"/>
          <w:szCs w:val="24"/>
        </w:rPr>
        <w:t xml:space="preserve">gyógyszertámogatás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C711A3">
      <w:pPr>
        <w:spacing w:after="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34AF3A41" w14:textId="323FD24F" w:rsidR="00CB3408" w:rsidRPr="00CB6030" w:rsidRDefault="00CB3408" w:rsidP="0005506E">
      <w:pPr>
        <w:pStyle w:val="Listaszerbekezds"/>
        <w:widowControl w:val="0"/>
        <w:numPr>
          <w:ilvl w:val="0"/>
          <w:numId w:val="13"/>
        </w:numPr>
        <w:spacing w:before="60" w:after="6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B3408">
        <w:rPr>
          <w:rFonts w:ascii="Source Sans Pro" w:hAnsi="Source Sans Pro" w:cs="DejaVuSerif-Italic"/>
          <w:sz w:val="24"/>
          <w:szCs w:val="24"/>
        </w:rPr>
        <w:t xml:space="preserve">a </w:t>
      </w:r>
      <w:r w:rsidR="00104E71">
        <w:rPr>
          <w:rFonts w:ascii="Source Sans Pro" w:hAnsi="Source Sans Pro" w:cs="Times New Roman"/>
          <w:sz w:val="24"/>
          <w:szCs w:val="24"/>
        </w:rPr>
        <w:t>„J</w:t>
      </w:r>
      <w:r w:rsidR="00A767BE" w:rsidRPr="00CB3408">
        <w:rPr>
          <w:rFonts w:ascii="Source Sans Pro" w:hAnsi="Source Sans Pro" w:cs="Times New Roman"/>
          <w:sz w:val="24"/>
          <w:szCs w:val="24"/>
        </w:rPr>
        <w:t>övedelem és vagyonnyilatkozat</w:t>
      </w:r>
      <w:r w:rsidR="00104E71">
        <w:rPr>
          <w:rFonts w:ascii="Source Sans Pro" w:hAnsi="Source Sans Pro" w:cs="Times New Roman"/>
          <w:sz w:val="24"/>
          <w:szCs w:val="24"/>
        </w:rPr>
        <w:t xml:space="preserve">” </w:t>
      </w:r>
      <w:r w:rsidR="00104E71" w:rsidRPr="00104E71">
        <w:rPr>
          <w:rFonts w:ascii="Source Sans Pro" w:hAnsi="Source Sans Pro" w:cs="Times New Roman"/>
          <w:sz w:val="24"/>
          <w:szCs w:val="24"/>
        </w:rPr>
        <w:t>elnevezésű nyomtatvány</w:t>
      </w:r>
    </w:p>
    <w:p w14:paraId="1CFF90BC" w14:textId="5573E2DC" w:rsidR="00CD47E5" w:rsidRPr="00CD47E5" w:rsidRDefault="00FE1AC5" w:rsidP="0005506E">
      <w:pPr>
        <w:pStyle w:val="Listaszerbekezds"/>
        <w:widowControl w:val="0"/>
        <w:numPr>
          <w:ilvl w:val="0"/>
          <w:numId w:val="13"/>
        </w:numPr>
        <w:tabs>
          <w:tab w:val="left" w:pos="426"/>
        </w:tabs>
        <w:spacing w:before="60"/>
        <w:ind w:left="777" w:hanging="357"/>
        <w:contextualSpacing w:val="0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FE1AC5">
        <w:rPr>
          <w:rFonts w:ascii="Source Sans Pro" w:eastAsia="Calibri" w:hAnsi="Source Sans Pro" w:cs="Times New Roman"/>
          <w:sz w:val="24"/>
          <w:szCs w:val="24"/>
        </w:rPr>
        <w:t>igazolás a gyógyszerköltségről</w:t>
      </w:r>
    </w:p>
    <w:p w14:paraId="6F769715" w14:textId="324505E3" w:rsidR="00C23CC5" w:rsidRPr="00CD47E5" w:rsidRDefault="00CB6906" w:rsidP="00CD47E5">
      <w:pPr>
        <w:widowControl w:val="0"/>
        <w:tabs>
          <w:tab w:val="left" w:pos="426"/>
        </w:tabs>
        <w:spacing w:before="60" w:after="60" w:line="240" w:lineRule="auto"/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CD47E5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CD47E5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CD47E5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CD47E5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7560471B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6B52A6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6B52A6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104E71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104E71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4BA3FAFC" w14:textId="77777777" w:rsidR="00A62D42" w:rsidRPr="00A62D42" w:rsidRDefault="00A62D42" w:rsidP="00104E71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A62D42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6CE062CC" w14:textId="4C787BDE" w:rsidR="00A62D42" w:rsidRDefault="00A62D42" w:rsidP="00A62D42">
      <w:pPr>
        <w:jc w:val="both"/>
        <w:rPr>
          <w:rFonts w:ascii="Source Sans Pro" w:hAnsi="Source Sans Pro"/>
          <w:sz w:val="24"/>
          <w:szCs w:val="24"/>
        </w:rPr>
      </w:pPr>
      <w:r w:rsidRPr="00A62D42">
        <w:rPr>
          <w:rFonts w:ascii="Source Sans Pro" w:hAnsi="Source Sans Pro"/>
          <w:sz w:val="24"/>
          <w:szCs w:val="24"/>
        </w:rPr>
        <w:t>Paks Város Önkormányzata Képviselő-testület</w:t>
      </w:r>
      <w:r w:rsidR="006F6304">
        <w:rPr>
          <w:rFonts w:ascii="Source Sans Pro" w:hAnsi="Source Sans Pro"/>
          <w:sz w:val="24"/>
          <w:szCs w:val="24"/>
        </w:rPr>
        <w:t>ének</w:t>
      </w:r>
      <w:r w:rsidRPr="00A62D42">
        <w:rPr>
          <w:rFonts w:ascii="Source Sans Pro" w:hAnsi="Source Sans Pro"/>
          <w:sz w:val="24"/>
          <w:szCs w:val="24"/>
        </w:rPr>
        <w:t xml:space="preserve"> a szociális és gyermekjóléti ellátásokról és a szociális és gyermekjóléti igazgatásról</w:t>
      </w:r>
      <w:r w:rsidR="006F6304">
        <w:rPr>
          <w:rFonts w:ascii="Source Sans Pro" w:hAnsi="Source Sans Pro"/>
          <w:sz w:val="24"/>
          <w:szCs w:val="24"/>
        </w:rPr>
        <w:t xml:space="preserve"> szóló </w:t>
      </w:r>
      <w:r w:rsidR="006F6304" w:rsidRPr="00A62D42">
        <w:rPr>
          <w:rFonts w:ascii="Source Sans Pro" w:hAnsi="Source Sans Pro"/>
          <w:sz w:val="24"/>
          <w:szCs w:val="24"/>
        </w:rPr>
        <w:t>3/2015. (II. 13.) önkormányzati rendelete</w:t>
      </w:r>
    </w:p>
    <w:p w14:paraId="4FAED788" w14:textId="77777777" w:rsidR="00D639CC" w:rsidRPr="00D639CC" w:rsidRDefault="00D639CC" w:rsidP="00D639CC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D639CC">
        <w:rPr>
          <w:rFonts w:ascii="Source Sans Pro" w:eastAsia="Calibri" w:hAnsi="Source Sans Pro" w:cs="Times New Roman"/>
          <w:sz w:val="24"/>
          <w:szCs w:val="24"/>
        </w:rPr>
        <w:t>A szociális igazgatásról és szociális ellátásokról szóló 1993. évi III. törvény</w:t>
      </w:r>
    </w:p>
    <w:p w14:paraId="018F4C49" w14:textId="77777777" w:rsidR="00D639CC" w:rsidRPr="00D639CC" w:rsidRDefault="00D639CC" w:rsidP="00D639CC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D639CC">
        <w:rPr>
          <w:rFonts w:ascii="Source Sans Pro" w:eastAsia="Calibri" w:hAnsi="Source Sans Pro" w:cs="Times New Roman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</w:t>
      </w:r>
    </w:p>
    <w:p w14:paraId="716E31C2" w14:textId="77777777" w:rsidR="00D639CC" w:rsidRPr="00D639CC" w:rsidRDefault="00D639CC" w:rsidP="00D639CC">
      <w:pPr>
        <w:spacing w:line="254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D639CC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5A432CF0" w14:textId="77777777" w:rsidR="00EF21CB" w:rsidRDefault="00EF21CB" w:rsidP="00104E71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</w:p>
    <w:p w14:paraId="785EBD76" w14:textId="44E6832D" w:rsidR="009A72FD" w:rsidRPr="000454F1" w:rsidRDefault="009A72FD" w:rsidP="00104E71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lastRenderedPageBreak/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2526CE00" w14:textId="77777777" w:rsidR="006F6304" w:rsidRPr="000454F1" w:rsidRDefault="006F6304" w:rsidP="006F6304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5CB993AA" w14:textId="77777777" w:rsidR="006F6304" w:rsidRPr="000454F1" w:rsidRDefault="006F6304" w:rsidP="006F6304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5662CD67" w14:textId="77777777" w:rsidR="006F6304" w:rsidRPr="00C711A3" w:rsidRDefault="006F6304" w:rsidP="006F6304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7D5"/>
    <w:multiLevelType w:val="hybridMultilevel"/>
    <w:tmpl w:val="3AAC2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0BE4"/>
    <w:multiLevelType w:val="hybridMultilevel"/>
    <w:tmpl w:val="A7747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48B"/>
    <w:multiLevelType w:val="hybridMultilevel"/>
    <w:tmpl w:val="A6E4EF7C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5F7B"/>
    <w:multiLevelType w:val="hybridMultilevel"/>
    <w:tmpl w:val="91BE91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4652"/>
    <w:multiLevelType w:val="hybridMultilevel"/>
    <w:tmpl w:val="681EE284"/>
    <w:lvl w:ilvl="0" w:tplc="BE288CB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1554"/>
    <w:multiLevelType w:val="hybridMultilevel"/>
    <w:tmpl w:val="ABAA0410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239"/>
    <w:multiLevelType w:val="hybridMultilevel"/>
    <w:tmpl w:val="8400994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00404"/>
    <w:multiLevelType w:val="hybridMultilevel"/>
    <w:tmpl w:val="82C06A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01E47"/>
    <w:multiLevelType w:val="hybridMultilevel"/>
    <w:tmpl w:val="270C4276"/>
    <w:lvl w:ilvl="0" w:tplc="7CF684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1551B5"/>
    <w:multiLevelType w:val="hybridMultilevel"/>
    <w:tmpl w:val="BD8633D6"/>
    <w:lvl w:ilvl="0" w:tplc="8864D9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16D0"/>
    <w:multiLevelType w:val="hybridMultilevel"/>
    <w:tmpl w:val="A1F83EB4"/>
    <w:lvl w:ilvl="0" w:tplc="A3D835BA">
      <w:numFmt w:val="bullet"/>
      <w:lvlText w:val="-"/>
      <w:lvlJc w:val="left"/>
      <w:pPr>
        <w:ind w:left="1287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993211"/>
    <w:multiLevelType w:val="hybridMultilevel"/>
    <w:tmpl w:val="54FE2C64"/>
    <w:lvl w:ilvl="0" w:tplc="3C0C18D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6082"/>
    <w:multiLevelType w:val="hybridMultilevel"/>
    <w:tmpl w:val="720007D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B2478"/>
    <w:multiLevelType w:val="hybridMultilevel"/>
    <w:tmpl w:val="6D48BE28"/>
    <w:lvl w:ilvl="0" w:tplc="09CAD6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F1716"/>
    <w:multiLevelType w:val="hybridMultilevel"/>
    <w:tmpl w:val="C49E8524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D7A7A"/>
    <w:multiLevelType w:val="hybridMultilevel"/>
    <w:tmpl w:val="EB083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81EE7"/>
    <w:multiLevelType w:val="hybridMultilevel"/>
    <w:tmpl w:val="5282CC36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B7260"/>
    <w:multiLevelType w:val="hybridMultilevel"/>
    <w:tmpl w:val="819A56B6"/>
    <w:lvl w:ilvl="0" w:tplc="D5221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AF2FD3"/>
    <w:multiLevelType w:val="hybridMultilevel"/>
    <w:tmpl w:val="6C5CA352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428F"/>
    <w:multiLevelType w:val="hybridMultilevel"/>
    <w:tmpl w:val="ACAA8D98"/>
    <w:lvl w:ilvl="0" w:tplc="9E7A233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B6AC0"/>
    <w:multiLevelType w:val="hybridMultilevel"/>
    <w:tmpl w:val="1F30D1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9" w15:restartNumberingAfterBreak="0">
    <w:nsid w:val="7C1F11CF"/>
    <w:multiLevelType w:val="hybridMultilevel"/>
    <w:tmpl w:val="E7E6EE68"/>
    <w:lvl w:ilvl="0" w:tplc="5E60EB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14"/>
  </w:num>
  <w:num w:numId="4">
    <w:abstractNumId w:val="31"/>
  </w:num>
  <w:num w:numId="5">
    <w:abstractNumId w:val="13"/>
  </w:num>
  <w:num w:numId="6">
    <w:abstractNumId w:val="27"/>
  </w:num>
  <w:num w:numId="7">
    <w:abstractNumId w:val="15"/>
  </w:num>
  <w:num w:numId="8">
    <w:abstractNumId w:val="5"/>
  </w:num>
  <w:num w:numId="9">
    <w:abstractNumId w:val="30"/>
  </w:num>
  <w:num w:numId="10">
    <w:abstractNumId w:val="10"/>
  </w:num>
  <w:num w:numId="11">
    <w:abstractNumId w:val="32"/>
  </w:num>
  <w:num w:numId="12">
    <w:abstractNumId w:val="4"/>
  </w:num>
  <w:num w:numId="13">
    <w:abstractNumId w:val="29"/>
  </w:num>
  <w:num w:numId="14">
    <w:abstractNumId w:val="1"/>
  </w:num>
  <w:num w:numId="15">
    <w:abstractNumId w:val="38"/>
  </w:num>
  <w:num w:numId="16">
    <w:abstractNumId w:val="25"/>
  </w:num>
  <w:num w:numId="17">
    <w:abstractNumId w:val="12"/>
  </w:num>
  <w:num w:numId="18">
    <w:abstractNumId w:val="3"/>
  </w:num>
  <w:num w:numId="19">
    <w:abstractNumId w:val="18"/>
  </w:num>
  <w:num w:numId="20">
    <w:abstractNumId w:val="35"/>
  </w:num>
  <w:num w:numId="21">
    <w:abstractNumId w:val="22"/>
  </w:num>
  <w:num w:numId="22">
    <w:abstractNumId w:val="8"/>
  </w:num>
  <w:num w:numId="23">
    <w:abstractNumId w:val="37"/>
  </w:num>
  <w:num w:numId="24">
    <w:abstractNumId w:val="19"/>
  </w:num>
  <w:num w:numId="25">
    <w:abstractNumId w:val="16"/>
  </w:num>
  <w:num w:numId="26">
    <w:abstractNumId w:val="17"/>
  </w:num>
  <w:num w:numId="27">
    <w:abstractNumId w:val="20"/>
  </w:num>
  <w:num w:numId="28">
    <w:abstractNumId w:val="2"/>
  </w:num>
  <w:num w:numId="29">
    <w:abstractNumId w:val="33"/>
  </w:num>
  <w:num w:numId="30">
    <w:abstractNumId w:val="11"/>
  </w:num>
  <w:num w:numId="31">
    <w:abstractNumId w:val="24"/>
  </w:num>
  <w:num w:numId="32">
    <w:abstractNumId w:val="36"/>
  </w:num>
  <w:num w:numId="33">
    <w:abstractNumId w:val="26"/>
  </w:num>
  <w:num w:numId="34">
    <w:abstractNumId w:val="9"/>
  </w:num>
  <w:num w:numId="35">
    <w:abstractNumId w:val="7"/>
  </w:num>
  <w:num w:numId="36">
    <w:abstractNumId w:val="28"/>
  </w:num>
  <w:num w:numId="37">
    <w:abstractNumId w:val="39"/>
  </w:num>
  <w:num w:numId="38">
    <w:abstractNumId w:val="6"/>
  </w:num>
  <w:num w:numId="39">
    <w:abstractNumId w:val="21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11E82"/>
    <w:rsid w:val="000454F1"/>
    <w:rsid w:val="00046B67"/>
    <w:rsid w:val="0005506E"/>
    <w:rsid w:val="000947D2"/>
    <w:rsid w:val="000B41B6"/>
    <w:rsid w:val="000E2C64"/>
    <w:rsid w:val="000E32C3"/>
    <w:rsid w:val="00104E71"/>
    <w:rsid w:val="001050AA"/>
    <w:rsid w:val="0014070B"/>
    <w:rsid w:val="0015503C"/>
    <w:rsid w:val="001B6BE0"/>
    <w:rsid w:val="001C36B6"/>
    <w:rsid w:val="001C6B8B"/>
    <w:rsid w:val="00214A74"/>
    <w:rsid w:val="00295FAF"/>
    <w:rsid w:val="002B79DC"/>
    <w:rsid w:val="00362CA2"/>
    <w:rsid w:val="00380799"/>
    <w:rsid w:val="0039256F"/>
    <w:rsid w:val="003A1F11"/>
    <w:rsid w:val="003A59D9"/>
    <w:rsid w:val="003D503B"/>
    <w:rsid w:val="004225DD"/>
    <w:rsid w:val="00473F4C"/>
    <w:rsid w:val="004D37BB"/>
    <w:rsid w:val="00502E92"/>
    <w:rsid w:val="00590E9A"/>
    <w:rsid w:val="00596586"/>
    <w:rsid w:val="005D3376"/>
    <w:rsid w:val="005F22DE"/>
    <w:rsid w:val="00681672"/>
    <w:rsid w:val="006828D4"/>
    <w:rsid w:val="00687F18"/>
    <w:rsid w:val="006A03A2"/>
    <w:rsid w:val="006B52A6"/>
    <w:rsid w:val="006B72AF"/>
    <w:rsid w:val="006E7088"/>
    <w:rsid w:val="006F6304"/>
    <w:rsid w:val="007075E9"/>
    <w:rsid w:val="00760A88"/>
    <w:rsid w:val="007D443A"/>
    <w:rsid w:val="00823CB3"/>
    <w:rsid w:val="00851F84"/>
    <w:rsid w:val="008E3D70"/>
    <w:rsid w:val="008F341D"/>
    <w:rsid w:val="00941117"/>
    <w:rsid w:val="00971D16"/>
    <w:rsid w:val="009A72FD"/>
    <w:rsid w:val="009A7997"/>
    <w:rsid w:val="009C50DB"/>
    <w:rsid w:val="009F5531"/>
    <w:rsid w:val="00A418E9"/>
    <w:rsid w:val="00A62D42"/>
    <w:rsid w:val="00A76740"/>
    <w:rsid w:val="00A767BE"/>
    <w:rsid w:val="00AB63F5"/>
    <w:rsid w:val="00AC6B7B"/>
    <w:rsid w:val="00B07ACF"/>
    <w:rsid w:val="00B91E02"/>
    <w:rsid w:val="00BB7F23"/>
    <w:rsid w:val="00BD409B"/>
    <w:rsid w:val="00BF3BA0"/>
    <w:rsid w:val="00C23CC5"/>
    <w:rsid w:val="00C711A3"/>
    <w:rsid w:val="00C9383E"/>
    <w:rsid w:val="00C94445"/>
    <w:rsid w:val="00C9547C"/>
    <w:rsid w:val="00CA6A7E"/>
    <w:rsid w:val="00CB2290"/>
    <w:rsid w:val="00CB3408"/>
    <w:rsid w:val="00CB6030"/>
    <w:rsid w:val="00CB6906"/>
    <w:rsid w:val="00CC6712"/>
    <w:rsid w:val="00CD47E5"/>
    <w:rsid w:val="00CF1D6F"/>
    <w:rsid w:val="00D018C1"/>
    <w:rsid w:val="00D25662"/>
    <w:rsid w:val="00D358D7"/>
    <w:rsid w:val="00D50454"/>
    <w:rsid w:val="00D515FB"/>
    <w:rsid w:val="00D639CC"/>
    <w:rsid w:val="00D666C4"/>
    <w:rsid w:val="00E074C9"/>
    <w:rsid w:val="00E13B02"/>
    <w:rsid w:val="00E47E3C"/>
    <w:rsid w:val="00E730F2"/>
    <w:rsid w:val="00EA05F7"/>
    <w:rsid w:val="00EA57CB"/>
    <w:rsid w:val="00EF21CB"/>
    <w:rsid w:val="00EF59F2"/>
    <w:rsid w:val="00F05A7C"/>
    <w:rsid w:val="00F10DA5"/>
    <w:rsid w:val="00F26C6B"/>
    <w:rsid w:val="00F322BA"/>
    <w:rsid w:val="00FA6B37"/>
    <w:rsid w:val="00FD6732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3</cp:revision>
  <cp:lastPrinted>2020-07-14T12:10:00Z</cp:lastPrinted>
  <dcterms:created xsi:type="dcterms:W3CDTF">2023-04-26T12:10:00Z</dcterms:created>
  <dcterms:modified xsi:type="dcterms:W3CDTF">2023-04-27T13:01:00Z</dcterms:modified>
</cp:coreProperties>
</file>